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SOBEWFF &amp; FIU Chaplin School Hospitality Relief Fund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The Miami Downtown Development Authority is partnering with FIU, SOBEWFF, and others to roll out the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SOBEWFF &amp; FIU Chaplin School Hospitality Relief Fund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 As of today, the fund has raised $1M+ and each qualified applicant can receive up to $15,000 until the fund is exhausted.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In under a week the fund has been heavily drawn upon so we are calling on our restaurants to apply as soon as possible.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Each restaurant can receive up to $15,000 to assist their employees who have been furloughed, laid off, or whose incomes have been significantly reduced due to the COVID-19 pandemic.</w:t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Program Details: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u w:val="single"/>
          <w:rtl w:val="0"/>
        </w:rPr>
        <w:t xml:space="preserve">Applicant Pool: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Tri-county area independently owned restaurants and bars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before="0" w:before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u w:val="single"/>
          <w:rtl w:val="0"/>
        </w:rPr>
        <w:t xml:space="preserve">Fund Use: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Only intended for employees who have been furloughed, laid off, or whose incomes have been significantly reduced due to the COVID-19 pandemic.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u w:val="single"/>
          <w:rtl w:val="0"/>
        </w:rPr>
        <w:t xml:space="preserve">Fund Distribution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u w:val="singl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 Qualified applicants will receive funds on a first-come first-serve basis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 $500 per employee until a $15,000 maximum is reached.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To access the application, click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You will need to submit documentation supporting proof of business and documentation supporting the number of employees paid during your establishment's last payroll cycle.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For more information, visit: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https://sobewff.org/industry-relief/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For general inquiries pertaining to the Fund, please email </w:t>
      </w:r>
      <w:r w:rsidDel="00000000" w:rsidR="00000000" w:rsidRPr="00000000">
        <w:rPr>
          <w:rFonts w:ascii="Calibri" w:cs="Calibri" w:eastAsia="Calibri" w:hAnsi="Calibri"/>
          <w:color w:val="0a74db"/>
          <w:sz w:val="24"/>
          <w:szCs w:val="24"/>
          <w:highlight w:val="white"/>
          <w:rtl w:val="0"/>
        </w:rPr>
        <w:t xml:space="preserve">generalinquiries@sobewff.org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or call one of the following members of the Development Department at the Chaplin School of Hospitality &amp; Tourism Management at Florida International University: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before="22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Shivani Joshi (305.753.8940)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Kasey Lohn (786.457.0272)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before="0" w:beforeAutospacing="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Natalie Osorio (305.919.4505)</w:t>
      </w:r>
    </w:p>
    <w:p w:rsidR="00000000" w:rsidDel="00000000" w:rsidP="00000000" w:rsidRDefault="00000000" w:rsidRPr="00000000" w14:paraId="00000012">
      <w:pPr>
        <w:shd w:fill="ffffff" w:val="clear"/>
        <w:spacing w:before="220" w:lineRule="auto"/>
        <w:ind w:left="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You can also reach out to the Miami DDA's Business Development Team at any point, day or night, with any questions you may have: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ind w:left="72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Kevin Ruiz @ </w:t>
      </w:r>
      <w:r w:rsidDel="00000000" w:rsidR="00000000" w:rsidRPr="00000000">
        <w:rPr>
          <w:rFonts w:ascii="Calibri" w:cs="Calibri" w:eastAsia="Calibri" w:hAnsi="Calibri"/>
          <w:color w:val="0a74db"/>
          <w:sz w:val="24"/>
          <w:szCs w:val="24"/>
          <w:highlight w:val="white"/>
          <w:rtl w:val="0"/>
        </w:rPr>
        <w:t xml:space="preserve">Ruiz@miamidda.com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ind w:left="72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Ilona Vega @ </w:t>
      </w:r>
      <w:r w:rsidDel="00000000" w:rsidR="00000000" w:rsidRPr="00000000">
        <w:rPr>
          <w:rFonts w:ascii="Calibri" w:cs="Calibri" w:eastAsia="Calibri" w:hAnsi="Calibri"/>
          <w:color w:val="0a74db"/>
          <w:sz w:val="24"/>
          <w:szCs w:val="24"/>
          <w:highlight w:val="white"/>
          <w:rtl w:val="0"/>
        </w:rPr>
        <w:t xml:space="preserve">Vega@miamidda.com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ind w:left="720" w:hanging="360"/>
        <w:rPr>
          <w:rFonts w:ascii="Calibri" w:cs="Calibri" w:eastAsia="Calibri" w:hAnsi="Calibri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Niki Mangan @ </w:t>
      </w:r>
      <w:r w:rsidDel="00000000" w:rsidR="00000000" w:rsidRPr="00000000">
        <w:rPr>
          <w:rFonts w:ascii="Calibri" w:cs="Calibri" w:eastAsia="Calibri" w:hAnsi="Calibri"/>
          <w:color w:val="0a74db"/>
          <w:sz w:val="24"/>
          <w:szCs w:val="24"/>
          <w:highlight w:val="white"/>
          <w:rtl w:val="0"/>
        </w:rPr>
        <w:t xml:space="preserve">Mangan@miamidda.com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23130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bewff.org/industry-relief-form/?utm_source=Call+to+Action+for+Restauranteurs+-+3%2F31&amp;utm_campaign=Precautionary+Coronavirus+Update+-+MAR+3&amp;utm_medium=email" TargetMode="External"/><Relationship Id="rId7" Type="http://schemas.openxmlformats.org/officeDocument/2006/relationships/hyperlink" Target="https://sobewff.org/industry-relief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